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95C" w:rsidRDefault="00CD295C">
      <w:pPr>
        <w:pStyle w:val="1Zag"/>
        <w:rPr>
          <w:rFonts w:ascii="Arial" w:hAnsi="Arial"/>
        </w:rPr>
      </w:pPr>
      <w:r>
        <w:rPr>
          <w:rFonts w:ascii="Arial" w:hAnsi="Arial"/>
        </w:rPr>
        <w:t>Протокол расчета класса опасности отхода</w:t>
      </w:r>
    </w:p>
    <w:p w:rsidR="00CD295C" w:rsidRDefault="00CD295C">
      <w:pPr>
        <w:pStyle w:val="1Zag"/>
        <w:jc w:val="both"/>
        <w:rPr>
          <w:sz w:val="22"/>
        </w:rPr>
      </w:pPr>
      <w:r>
        <w:rPr>
          <w:sz w:val="22"/>
        </w:rPr>
        <w:t>(в соответствии с «Санитарными правилами по определению класса опасности токсичных отходов производства и потребления. СП 2.1.7.1386-03», утвержденными 16.06.03 г.)</w:t>
      </w:r>
    </w:p>
    <w:p w:rsidR="00CD295C" w:rsidRDefault="00CD295C">
      <w:pPr>
        <w:pStyle w:val="2text"/>
        <w:rPr>
          <w:lang w:val="en-US"/>
        </w:rPr>
      </w:pPr>
      <w:r>
        <w:t>Наименование отхода:</w:t>
      </w:r>
    </w:p>
    <w:p w:rsidR="00CD295C" w:rsidRDefault="00CD295C">
      <w:pPr>
        <w:pStyle w:val="2text"/>
        <w:ind w:left="567"/>
        <w:rPr>
          <w:b/>
        </w:rPr>
      </w:pPr>
      <w:r>
        <w:rPr>
          <w:b/>
          <w:lang w:val="en-US"/>
        </w:rPr>
        <w:t xml:space="preserve"> </w:t>
      </w:r>
      <w:bookmarkStart w:id="0" w:name="bl1"/>
      <w:bookmarkEnd w:id="0"/>
      <w:r>
        <w:rPr>
          <w:b/>
          <w:lang w:val="en-US"/>
        </w:rPr>
        <w:t>Шлаковый отсев №2</w:t>
      </w:r>
    </w:p>
    <w:p w:rsidR="00CD295C" w:rsidRDefault="00CD295C">
      <w:pPr>
        <w:pStyle w:val="2text"/>
        <w:rPr>
          <w:lang w:val="en-US"/>
        </w:rPr>
      </w:pPr>
      <w:r>
        <w:t>Код вида отхода по ФККО:</w:t>
      </w:r>
    </w:p>
    <w:p w:rsidR="00CD295C" w:rsidRDefault="00CD295C">
      <w:pPr>
        <w:pStyle w:val="2text"/>
        <w:ind w:left="567"/>
      </w:pPr>
      <w:r>
        <w:rPr>
          <w:b/>
        </w:rPr>
        <w:t xml:space="preserve"> </w:t>
      </w:r>
      <w:bookmarkStart w:id="1" w:name="bl2"/>
      <w:bookmarkEnd w:id="1"/>
      <w:r>
        <w:rPr>
          <w:b/>
        </w:rPr>
        <w:t>0000000007673</w:t>
      </w:r>
    </w:p>
    <w:p w:rsidR="00CD295C" w:rsidRDefault="00CD295C">
      <w:pPr>
        <w:pStyle w:val="2text"/>
        <w:rPr>
          <w:lang w:val="en-US"/>
        </w:rPr>
      </w:pPr>
      <w:r>
        <w:t>Наименование вида отхода по ФККО:</w:t>
      </w:r>
    </w:p>
    <w:p w:rsidR="00CD295C" w:rsidRDefault="00CD295C">
      <w:pPr>
        <w:pStyle w:val="2text"/>
        <w:ind w:left="567"/>
      </w:pPr>
      <w:r>
        <w:rPr>
          <w:b/>
        </w:rPr>
        <w:t xml:space="preserve"> </w:t>
      </w:r>
      <w:bookmarkStart w:id="2" w:name="bl3"/>
      <w:bookmarkEnd w:id="2"/>
    </w:p>
    <w:p w:rsidR="00CD295C" w:rsidRDefault="00CD295C">
      <w:pPr>
        <w:pStyle w:val="2text"/>
        <w:spacing w:before="120"/>
        <w:ind w:firstLine="567"/>
        <w:jc w:val="both"/>
      </w:pPr>
      <w:r>
        <w:t xml:space="preserve">Расчет класса опасности отхода выполнен с помощью разработанной НПП «ЛОГУС» программы </w:t>
      </w:r>
      <w:r>
        <w:rPr>
          <w:b/>
        </w:rPr>
        <w:t>«Определение класса опасности отходов. Справочник отходов»,</w:t>
      </w:r>
      <w:r>
        <w:t xml:space="preserve"> сертифицированной на соответствие действующим нормативным документам (сертификат соответствия № ЕСС.СС.06.ПП.012 – 08 от 09.10.2008 г., а также сертификат соответствия № ЕСС.СС.06.ПП.06 – 08 от 09.10.2008 г. в составе «Автоматизированной системы управления природоохранной деятельностью»).</w:t>
      </w:r>
    </w:p>
    <w:p w:rsidR="00CD295C" w:rsidRDefault="00CD295C">
      <w:pPr>
        <w:pStyle w:val="2text"/>
        <w:spacing w:before="120"/>
        <w:ind w:firstLine="567"/>
        <w:jc w:val="both"/>
        <w:rPr>
          <w:color w:val="000000"/>
        </w:rPr>
      </w:pPr>
      <w:r>
        <w:rPr>
          <w:color w:val="000000"/>
        </w:rPr>
        <w:t xml:space="preserve">Перечень </w:t>
      </w:r>
      <w:r>
        <w:t xml:space="preserve">веществ, составляющих отход (далее — компонентов отхода) </w:t>
      </w:r>
      <w:r>
        <w:rPr>
          <w:color w:val="000000"/>
        </w:rPr>
        <w:t>и их количественное содержание установлены по составу исходного сырья и технологическим процессам его переработки (или по результатам количественного химического анализа в аккредитованной лаборатории), прилагаемых к настоящему протоколу.</w:t>
      </w:r>
    </w:p>
    <w:p w:rsidR="00CD295C" w:rsidRDefault="00CD295C">
      <w:pPr>
        <w:pStyle w:val="2text"/>
        <w:spacing w:before="120" w:after="120"/>
        <w:ind w:firstLine="567"/>
        <w:rPr>
          <w:lang w:val="en-US"/>
        </w:rPr>
      </w:pPr>
      <w:r>
        <w:t>Результаты расчета по компонентам отхода</w:t>
      </w:r>
      <w:r>
        <w:rPr>
          <w:lang w:val="en-US"/>
        </w:rPr>
        <w:t xml:space="preserve"> (</w:t>
      </w:r>
      <w:r>
        <w:t>n — количество используемых показателей опасности компонента отхода</w:t>
      </w:r>
      <w:r>
        <w:rPr>
          <w:lang w:val="en-US"/>
        </w:rPr>
        <w:t xml:space="preserve">) </w:t>
      </w:r>
      <w:r>
        <w:t>приведены в таблице: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1134"/>
        <w:gridCol w:w="993"/>
        <w:gridCol w:w="283"/>
        <w:gridCol w:w="992"/>
        <w:gridCol w:w="993"/>
        <w:gridCol w:w="1275"/>
        <w:gridCol w:w="1276"/>
      </w:tblGrid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bottom w:val="nil"/>
            </w:tcBorders>
          </w:tcPr>
          <w:p w:rsidR="00CD295C" w:rsidRDefault="00CD295C">
            <w:pPr>
              <w:pStyle w:val="table"/>
              <w:rPr>
                <w:sz w:val="20"/>
              </w:rPr>
            </w:pPr>
            <w:r>
              <w:rPr>
                <w:sz w:val="20"/>
              </w:rPr>
              <w:t>Компонент</w:t>
            </w:r>
          </w:p>
        </w:tc>
        <w:tc>
          <w:tcPr>
            <w:tcW w:w="1134" w:type="dxa"/>
            <w:tcBorders>
              <w:bottom w:val="nil"/>
            </w:tcBorders>
          </w:tcPr>
          <w:p w:rsidR="00CD295C" w:rsidRDefault="00CD295C">
            <w:pPr>
              <w:pStyle w:val="table"/>
              <w:ind w:left="-85" w:right="-85"/>
              <w:rPr>
                <w:sz w:val="20"/>
              </w:rPr>
            </w:pPr>
            <w:r>
              <w:rPr>
                <w:sz w:val="20"/>
              </w:rPr>
              <w:t>Сод., %</w:t>
            </w:r>
          </w:p>
        </w:tc>
        <w:tc>
          <w:tcPr>
            <w:tcW w:w="993" w:type="dxa"/>
            <w:tcBorders>
              <w:bottom w:val="nil"/>
            </w:tcBorders>
          </w:tcPr>
          <w:p w:rsidR="00CD295C" w:rsidRDefault="00CD295C">
            <w:pPr>
              <w:pStyle w:val="table"/>
              <w:ind w:left="-91" w:right="-91"/>
              <w:rPr>
                <w:noProof w:val="0"/>
                <w:sz w:val="20"/>
                <w:lang w:val="en-US"/>
              </w:rPr>
            </w:pPr>
            <w:r>
              <w:rPr>
                <w:noProof w:val="0"/>
                <w:sz w:val="20"/>
                <w:lang w:val="en-US"/>
              </w:rPr>
              <w:t>Ci(</w:t>
            </w:r>
            <w:r>
              <w:rPr>
                <w:noProof w:val="0"/>
                <w:sz w:val="20"/>
              </w:rPr>
              <w:t>мг/кг</w:t>
            </w:r>
            <w:r>
              <w:rPr>
                <w:noProof w:val="0"/>
                <w:sz w:val="20"/>
                <w:lang w:val="en-US"/>
              </w:rPr>
              <w:t>)</w:t>
            </w:r>
          </w:p>
        </w:tc>
        <w:tc>
          <w:tcPr>
            <w:tcW w:w="283" w:type="dxa"/>
            <w:tcBorders>
              <w:bottom w:val="nil"/>
            </w:tcBorders>
          </w:tcPr>
          <w:p w:rsidR="00CD295C" w:rsidRDefault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  <w:tc>
          <w:tcPr>
            <w:tcW w:w="992" w:type="dxa"/>
            <w:tcBorders>
              <w:bottom w:val="nil"/>
            </w:tcBorders>
          </w:tcPr>
          <w:p w:rsidR="00CD295C" w:rsidRDefault="00CD295C">
            <w:pPr>
              <w:pStyle w:val="table"/>
              <w:rPr>
                <w:noProof w:val="0"/>
                <w:sz w:val="20"/>
                <w:lang w:val="en-US"/>
              </w:rPr>
            </w:pPr>
            <w:r>
              <w:rPr>
                <w:noProof w:val="0"/>
                <w:sz w:val="20"/>
                <w:lang w:val="en-US"/>
              </w:rPr>
              <w:t>Xi</w:t>
            </w:r>
          </w:p>
        </w:tc>
        <w:tc>
          <w:tcPr>
            <w:tcW w:w="993" w:type="dxa"/>
            <w:tcBorders>
              <w:bottom w:val="nil"/>
            </w:tcBorders>
          </w:tcPr>
          <w:p w:rsidR="00CD295C" w:rsidRDefault="00CD295C">
            <w:pPr>
              <w:pStyle w:val="table"/>
              <w:ind w:left="-57" w:right="-57"/>
              <w:rPr>
                <w:noProof w:val="0"/>
                <w:sz w:val="20"/>
                <w:lang w:val="en-US"/>
              </w:rPr>
            </w:pPr>
            <w:r>
              <w:rPr>
                <w:noProof w:val="0"/>
                <w:sz w:val="20"/>
                <w:lang w:val="en-US"/>
              </w:rPr>
              <w:t>lgWi</w:t>
            </w:r>
          </w:p>
        </w:tc>
        <w:tc>
          <w:tcPr>
            <w:tcW w:w="1275" w:type="dxa"/>
            <w:tcBorders>
              <w:bottom w:val="nil"/>
            </w:tcBorders>
          </w:tcPr>
          <w:p w:rsidR="00CD295C" w:rsidRDefault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Wi (</w:t>
            </w:r>
            <w:r>
              <w:rPr>
                <w:noProof w:val="0"/>
                <w:sz w:val="20"/>
              </w:rPr>
              <w:t>мг/кг</w:t>
            </w:r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bottom w:val="nil"/>
            </w:tcBorders>
          </w:tcPr>
          <w:p w:rsidR="00CD295C" w:rsidRDefault="00CD295C">
            <w:pPr>
              <w:pStyle w:val="table"/>
              <w:ind w:left="-85" w:right="-85"/>
              <w:rPr>
                <w:sz w:val="20"/>
              </w:rPr>
            </w:pPr>
            <w:r>
              <w:rPr>
                <w:sz w:val="20"/>
              </w:rPr>
              <w:t>Ki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bookmarkStart w:id="3" w:name="rep1"/>
            <w:bookmarkEnd w:id="3"/>
            <w:r>
              <w:rPr>
                <w:sz w:val="20"/>
              </w:rPr>
              <w:t>Кальция оксид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26.000000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260000.00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7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2.750000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2.100000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125.893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2065.246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Железа гидроксид (III)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11.900000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119000.00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3.000000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2.400000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251.189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473.747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Магния оксид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7.700000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77000.00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9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3.100000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2.520000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331.131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232.536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Кремния диоксид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44.680000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446800.00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9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3.000000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2.400000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251.189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1778.740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Алюминия оксид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6.000000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60000.00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3.090909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2.509091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322.917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185.806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Марганца окись (двуокись)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2.200000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22000.00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2.384615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1.661538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45.871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479.606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Хрома окись (VI)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0.600000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6000.00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1.846154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1.015385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1.000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6000.000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Меди оксид II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0.010000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2.461538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1.753846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56.734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1.763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Свинца(IV) оксид, Свинца диоксид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0.004000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2.230769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1.476923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29.986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1.334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Цинка оксид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0.080000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800.00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2.384615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1.661538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45.871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17.440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Натрия оксид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0.300000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3000.00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2.857143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2.228571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169.267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17.723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Никеля оксиды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0.003000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1.923077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1.107692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1.000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30.000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Кадмия оксид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0.000300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1.461538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0.553846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1.000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3.000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Титана оксид</w:t>
            </w:r>
          </w:p>
        </w:tc>
        <w:tc>
          <w:tcPr>
            <w:tcW w:w="1134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sz w:val="20"/>
              </w:rPr>
            </w:pPr>
            <w:r>
              <w:rPr>
                <w:sz w:val="20"/>
              </w:rPr>
              <w:t>0.050000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91" w:right="-91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500.00</w:t>
            </w:r>
          </w:p>
        </w:tc>
        <w:tc>
          <w:tcPr>
            <w:tcW w:w="283" w:type="dxa"/>
          </w:tcPr>
          <w:p w:rsidR="00CD295C" w:rsidRDefault="00CD295C">
            <w:pPr>
              <w:pStyle w:val="table"/>
              <w:ind w:left="-91" w:right="-79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11</w:t>
            </w:r>
          </w:p>
        </w:tc>
        <w:tc>
          <w:tcPr>
            <w:tcW w:w="992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3.500000</w:t>
            </w:r>
          </w:p>
        </w:tc>
        <w:tc>
          <w:tcPr>
            <w:tcW w:w="993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sz w:val="20"/>
              </w:rPr>
            </w:pPr>
            <w:r>
              <w:rPr>
                <w:sz w:val="20"/>
              </w:rPr>
              <w:t>3.000000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1000.000</w:t>
            </w:r>
          </w:p>
        </w:tc>
        <w:tc>
          <w:tcPr>
            <w:tcW w:w="1276" w:type="dxa"/>
          </w:tcPr>
          <w:p w:rsidR="00CD295C" w:rsidRDefault="00CD295C">
            <w:pPr>
              <w:pStyle w:val="table"/>
              <w:ind w:left="-85" w:right="-85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0.500</w:t>
            </w:r>
          </w:p>
        </w:tc>
      </w:tr>
    </w:tbl>
    <w:p w:rsidR="00CD295C" w:rsidRDefault="00CD295C">
      <w:pPr>
        <w:pStyle w:val="2text"/>
        <w:tabs>
          <w:tab w:val="right" w:pos="1985"/>
          <w:tab w:val="left" w:pos="2127"/>
        </w:tabs>
        <w:rPr>
          <w:sz w:val="2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553"/>
        <w:gridCol w:w="1275"/>
        <w:gridCol w:w="4536"/>
        <w:gridCol w:w="1276"/>
      </w:tblGrid>
      <w:tr w:rsidR="00CD295C">
        <w:tblPrEx>
          <w:tblCellMar>
            <w:top w:w="0" w:type="dxa"/>
            <w:bottom w:w="0" w:type="dxa"/>
          </w:tblCellMar>
        </w:tblPrEx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95C" w:rsidRDefault="00CD295C">
            <w:pPr>
              <w:pStyle w:val="2text"/>
              <w:ind w:left="-91" w:right="-57"/>
              <w:jc w:val="right"/>
              <w:rPr>
                <w:sz w:val="20"/>
              </w:rPr>
            </w:pPr>
            <w:r>
              <w:rPr>
                <w:sz w:val="20"/>
              </w:rPr>
              <w:t>Суммарный %: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5C" w:rsidRDefault="00CD295C">
            <w:pPr>
              <w:pStyle w:val="2text"/>
              <w:ind w:left="-91" w:right="-57"/>
              <w:jc w:val="right"/>
              <w:rPr>
                <w:sz w:val="20"/>
              </w:rPr>
            </w:pPr>
            <w:bookmarkStart w:id="4" w:name="sum1"/>
            <w:bookmarkEnd w:id="4"/>
            <w:r>
              <w:rPr>
                <w:sz w:val="20"/>
              </w:rPr>
              <w:t>99.527300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95C" w:rsidRDefault="00CD295C">
            <w:pPr>
              <w:pStyle w:val="2text"/>
              <w:ind w:left="-91" w:right="-57"/>
              <w:jc w:val="right"/>
              <w:rPr>
                <w:sz w:val="20"/>
              </w:rPr>
            </w:pPr>
            <w:r>
              <w:rPr>
                <w:sz w:val="20"/>
              </w:rPr>
              <w:t>Суммарный индекс опасности</w:t>
            </w:r>
            <w:r>
              <w:rPr>
                <w:b/>
                <w:sz w:val="20"/>
              </w:rPr>
              <w:t xml:space="preserve"> К</w:t>
            </w:r>
            <w:r>
              <w:rPr>
                <w:sz w:val="20"/>
              </w:rPr>
              <w:t xml:space="preserve"> отхода: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5C" w:rsidRDefault="00CD295C">
            <w:pPr>
              <w:pStyle w:val="2text"/>
              <w:ind w:left="-91" w:right="-57"/>
              <w:jc w:val="right"/>
              <w:rPr>
                <w:sz w:val="20"/>
                <w:lang w:val="en-US"/>
              </w:rPr>
            </w:pPr>
            <w:bookmarkStart w:id="5" w:name="sum2"/>
            <w:bookmarkEnd w:id="5"/>
            <w:r>
              <w:rPr>
                <w:sz w:val="20"/>
                <w:lang w:val="en-US"/>
              </w:rPr>
              <w:t>11287.442</w:t>
            </w:r>
          </w:p>
        </w:tc>
      </w:tr>
    </w:tbl>
    <w:p w:rsidR="00CD295C" w:rsidRDefault="00CD295C">
      <w:pPr>
        <w:pStyle w:val="2text"/>
        <w:tabs>
          <w:tab w:val="left" w:pos="4253"/>
        </w:tabs>
        <w:spacing w:before="120"/>
        <w:ind w:firstLine="567"/>
      </w:pPr>
      <w:r>
        <w:t>Класс опасности отхода:</w:t>
      </w:r>
      <w:r>
        <w:tab/>
      </w:r>
      <w:r>
        <w:rPr>
          <w:b/>
        </w:rPr>
        <w:t>"</w:t>
      </w:r>
      <w:bookmarkStart w:id="6" w:name="end1"/>
      <w:bookmarkEnd w:id="6"/>
      <w:r>
        <w:rPr>
          <w:b/>
        </w:rPr>
        <w:t>II"</w:t>
      </w:r>
    </w:p>
    <w:p w:rsidR="00CD295C" w:rsidRDefault="00CD295C">
      <w:pPr>
        <w:pStyle w:val="2text"/>
        <w:spacing w:before="120" w:after="120"/>
        <w:ind w:firstLine="567"/>
      </w:pPr>
      <w:r>
        <w:t>Ранжирование отхода по классам опасности по величине К проведено в соответствии с таблицей: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42"/>
        <w:gridCol w:w="4680"/>
      </w:tblGrid>
      <w:tr w:rsidR="00CD295C">
        <w:tblPrEx>
          <w:tblCellMar>
            <w:top w:w="0" w:type="dxa"/>
            <w:bottom w:w="0" w:type="dxa"/>
          </w:tblCellMar>
        </w:tblPrEx>
        <w:tc>
          <w:tcPr>
            <w:tcW w:w="3542" w:type="dxa"/>
          </w:tcPr>
          <w:p w:rsidR="00CD295C" w:rsidRDefault="00CD295C">
            <w:pPr>
              <w:pStyle w:val="table"/>
            </w:pPr>
            <w:r>
              <w:t>Класс опасности отхода</w:t>
            </w:r>
          </w:p>
        </w:tc>
        <w:tc>
          <w:tcPr>
            <w:tcW w:w="4680" w:type="dxa"/>
          </w:tcPr>
          <w:p w:rsidR="00CD295C" w:rsidRDefault="00CD295C">
            <w:pPr>
              <w:pStyle w:val="table"/>
            </w:pPr>
            <w:r>
              <w:t>Суммарный индекс опасности</w:t>
            </w:r>
            <w:r>
              <w:rPr>
                <w:noProof w:val="0"/>
              </w:rPr>
              <w:t xml:space="preserve"> </w:t>
            </w:r>
            <w:r>
              <w:t>отхода (К)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3542" w:type="dxa"/>
          </w:tcPr>
          <w:p w:rsidR="00CD295C" w:rsidRDefault="00CD295C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I</w:t>
            </w:r>
          </w:p>
        </w:tc>
        <w:tc>
          <w:tcPr>
            <w:tcW w:w="4680" w:type="dxa"/>
          </w:tcPr>
          <w:p w:rsidR="00CD295C" w:rsidRDefault="00CD295C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K &gt; 50000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3542" w:type="dxa"/>
          </w:tcPr>
          <w:p w:rsidR="00CD295C" w:rsidRDefault="00CD295C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II</w:t>
            </w:r>
          </w:p>
        </w:tc>
        <w:tc>
          <w:tcPr>
            <w:tcW w:w="4680" w:type="dxa"/>
          </w:tcPr>
          <w:p w:rsidR="00CD295C" w:rsidRDefault="00CD295C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50000 &gt;= K &gt; 1000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3542" w:type="dxa"/>
          </w:tcPr>
          <w:p w:rsidR="00CD295C" w:rsidRDefault="00CD295C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III</w:t>
            </w:r>
          </w:p>
        </w:tc>
        <w:tc>
          <w:tcPr>
            <w:tcW w:w="4680" w:type="dxa"/>
          </w:tcPr>
          <w:p w:rsidR="00CD295C" w:rsidRDefault="00CD295C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999 &gt;= K &gt;= 100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3542" w:type="dxa"/>
          </w:tcPr>
          <w:p w:rsidR="00CD295C" w:rsidRDefault="00CD295C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IV</w:t>
            </w:r>
          </w:p>
        </w:tc>
        <w:tc>
          <w:tcPr>
            <w:tcW w:w="4680" w:type="dxa"/>
          </w:tcPr>
          <w:p w:rsidR="00CD295C" w:rsidRDefault="00CD295C">
            <w:pPr>
              <w:pStyle w:val="table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100 &gt; K</w:t>
            </w:r>
          </w:p>
        </w:tc>
      </w:tr>
    </w:tbl>
    <w:p w:rsidR="00CD295C" w:rsidRDefault="00CD295C">
      <w:pPr>
        <w:pStyle w:val="2text"/>
        <w:spacing w:before="120"/>
        <w:ind w:firstLine="567"/>
      </w:pPr>
      <w:r>
        <w:t>Суммарный индекс опасности</w:t>
      </w:r>
      <w:r>
        <w:rPr>
          <w:color w:val="000000"/>
        </w:rPr>
        <w:t xml:space="preserve"> </w:t>
      </w:r>
      <w:r>
        <w:t>К</w:t>
      </w:r>
      <w:r>
        <w:rPr>
          <w:color w:val="000000"/>
        </w:rPr>
        <w:t xml:space="preserve"> </w:t>
      </w:r>
      <w:r>
        <w:t>отхода рассчитан по следующей формуле:</w:t>
      </w:r>
    </w:p>
    <w:p w:rsidR="00CD295C" w:rsidRDefault="00CD295C">
      <w:pPr>
        <w:pStyle w:val="2text"/>
        <w:spacing w:before="240" w:after="240"/>
        <w:jc w:val="center"/>
      </w:pPr>
      <w:r>
        <w:t>К = K1  + K2  +..........+ Кn,</w:t>
      </w:r>
    </w:p>
    <w:p w:rsidR="00CD295C" w:rsidRDefault="00CD295C">
      <w:pPr>
        <w:pStyle w:val="2textpoyas"/>
        <w:tabs>
          <w:tab w:val="clear" w:pos="1560"/>
          <w:tab w:val="right" w:pos="709"/>
        </w:tabs>
      </w:pPr>
      <w:r>
        <w:t>где</w:t>
      </w:r>
      <w:r>
        <w:tab/>
        <w:t>К</w:t>
      </w:r>
      <w:r>
        <w:tab/>
      </w:r>
      <w:r>
        <w:tab/>
        <w:t>—</w:t>
      </w:r>
      <w:r>
        <w:tab/>
        <w:t>суммарный индекс опасности</w:t>
      </w:r>
      <w:r>
        <w:rPr>
          <w:noProof w:val="0"/>
        </w:rPr>
        <w:t xml:space="preserve"> </w:t>
      </w:r>
      <w:r>
        <w:t>отхода;</w:t>
      </w:r>
    </w:p>
    <w:p w:rsidR="00CD295C" w:rsidRDefault="00CD295C">
      <w:pPr>
        <w:pStyle w:val="2textpoyas"/>
        <w:tabs>
          <w:tab w:val="clear" w:pos="1985"/>
          <w:tab w:val="clear" w:pos="2268"/>
          <w:tab w:val="left" w:pos="567"/>
          <w:tab w:val="right" w:pos="993"/>
        </w:tabs>
      </w:pPr>
      <w:r>
        <w:lastRenderedPageBreak/>
        <w:tab/>
      </w:r>
      <w:r>
        <w:tab/>
        <w:t>K1, K2, Кn</w:t>
      </w:r>
      <w:r>
        <w:tab/>
        <w:t>—</w:t>
      </w:r>
      <w:r>
        <w:tab/>
        <w:t>показатели опасности веществ, составляющих отход (компонент).</w:t>
      </w:r>
    </w:p>
    <w:p w:rsidR="00CD295C" w:rsidRDefault="00CD295C">
      <w:pPr>
        <w:pStyle w:val="2text"/>
        <w:spacing w:before="120"/>
        <w:ind w:firstLine="567"/>
      </w:pPr>
      <w:r>
        <w:t>Показатель Ki опасности компонента отхода рассчитан по формуле:</w:t>
      </w:r>
    </w:p>
    <w:p w:rsidR="00CD295C" w:rsidRDefault="00CD295C">
      <w:pPr>
        <w:pStyle w:val="2text"/>
        <w:spacing w:before="240" w:after="240"/>
        <w:jc w:val="center"/>
      </w:pPr>
      <w:r>
        <w:t>Ki = Ci / Wi,</w:t>
      </w:r>
    </w:p>
    <w:p w:rsidR="00CD295C" w:rsidRDefault="00CD295C">
      <w:pPr>
        <w:pStyle w:val="2textpoyas"/>
        <w:tabs>
          <w:tab w:val="clear" w:pos="1560"/>
          <w:tab w:val="clear" w:pos="1985"/>
          <w:tab w:val="right" w:pos="851"/>
          <w:tab w:val="right" w:pos="1701"/>
        </w:tabs>
      </w:pPr>
      <w:r>
        <w:t>где</w:t>
      </w:r>
      <w:r>
        <w:tab/>
        <w:t>Ci</w:t>
      </w:r>
      <w:r>
        <w:tab/>
        <w:t>—</w:t>
      </w:r>
      <w:r>
        <w:tab/>
        <w:t>концентрация i-тогo компонента отход</w:t>
      </w:r>
      <w:r>
        <w:rPr>
          <w:noProof w:val="0"/>
        </w:rPr>
        <w:t>а</w:t>
      </w:r>
      <w:r>
        <w:t xml:space="preserve"> (мг/кг отхода);</w:t>
      </w:r>
    </w:p>
    <w:p w:rsidR="00CD295C" w:rsidRDefault="00CD295C">
      <w:pPr>
        <w:pStyle w:val="2textpoyas"/>
        <w:tabs>
          <w:tab w:val="clear" w:pos="1560"/>
          <w:tab w:val="clear" w:pos="1985"/>
          <w:tab w:val="right" w:pos="851"/>
          <w:tab w:val="right" w:pos="1701"/>
        </w:tabs>
      </w:pPr>
      <w:r>
        <w:tab/>
        <w:t>Wi</w:t>
      </w:r>
      <w:r>
        <w:tab/>
        <w:t>—</w:t>
      </w:r>
      <w:r>
        <w:tab/>
        <w:t>коэффициент степени опасности i-того компонента отхода. Размерность коэффициента степени опасности для ОПС условно принимается как мг/кг.</w:t>
      </w:r>
    </w:p>
    <w:p w:rsidR="00CD295C" w:rsidRDefault="00CD295C">
      <w:pPr>
        <w:pStyle w:val="2text"/>
        <w:spacing w:before="120"/>
        <w:ind w:firstLine="567"/>
        <w:jc w:val="both"/>
      </w:pPr>
      <w:r>
        <w:t xml:space="preserve">Для определения коэффициента степени опасности компонента отхода </w:t>
      </w:r>
      <w:r>
        <w:rPr>
          <w:lang w:val="en-US"/>
        </w:rPr>
        <w:t>Wi</w:t>
      </w:r>
      <w:r>
        <w:t xml:space="preserve"> по каждому компоненту отхода устанавливаются токсикологические, санитарно-гигиенические и физико-химические</w:t>
      </w:r>
      <w:r>
        <w:rPr>
          <w:lang w:val="en-US"/>
        </w:rPr>
        <w:t xml:space="preserve"> </w:t>
      </w:r>
      <w:r>
        <w:t>показатели опасности.</w:t>
      </w:r>
    </w:p>
    <w:p w:rsidR="00CD295C" w:rsidRDefault="00CD295C">
      <w:pPr>
        <w:pStyle w:val="2text"/>
      </w:pPr>
      <w:bookmarkStart w:id="7" w:name="rep2"/>
      <w:bookmarkEnd w:id="7"/>
      <w:r>
        <w:t xml:space="preserve"> </w:t>
      </w:r>
    </w:p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Кальция оксид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1.0000000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0.3000000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[61]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500.00000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999.0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с токс.близкой к токс.исходн.вещества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одном звене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Железа гидроксид (III)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0.300000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lastRenderedPageBreak/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10.0000000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0.0400000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4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95.00000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[14]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-3.18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с токс.близкой к токс.исходн.вещества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[14]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одном звене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[14]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Магния оксид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4.0000000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0.0500000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4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10000.00000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есть вероятность для животных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40.00000000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с токс.близкой к токс.исходн.вещества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нескольких звеньях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lastRenderedPageBreak/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Кремния диоксид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10.000000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2.0000000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0.1000000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доказана для животных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[63]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Алюминия оксид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0.200000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2.0000000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0.0100000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0.04000000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lastRenderedPageBreak/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Марганца окись (двуокись)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700.000000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0.100000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0.0500000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0.0010000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3478.00000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3.95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0.01000000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нескольких звеньях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Хрома окись (VI)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0.050000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0.050000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[109]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0.0100000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0.0015000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[109]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lastRenderedPageBreak/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80.00000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доказана для человека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[63]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7.52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0.02000000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одном звене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[14]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есть возможн.проявления для животных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0.200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[45]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Меди оксид II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3.000000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1.000000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[109]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0.5000000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0.0020000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[109]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140.00000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[27]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0.00100000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есть возможн.проявления для животных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[27]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0.400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[45]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Свинца(IV) оксид, Свинца диоксид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32.000000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0.010000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0.0500000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0.0003000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0.00600000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во всех звеньях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0.100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[45]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Цинка оксид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23.000000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1.000000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0.5000000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0.0500000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7950.00000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2500.00000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0.01000000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0.4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lastRenderedPageBreak/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нескольких звеньях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есть возможн.проявления для животных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3.000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[14]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Натрия оксид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200.000000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0.0100000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[61]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4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120.00000000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с более выраж.влиянием др.критериев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одном звене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Никеля оксиды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4.000000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0.020000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0.0500000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0.0010000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lastRenderedPageBreak/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доказана для человека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[63]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3.85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0.01000000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нескольких звеньях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есть возможн.проявления для животных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3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[14]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 w:rsidP="00CD295C">
      <w:pPr>
        <w:pStyle w:val="2text"/>
      </w:pPr>
    </w:p>
    <w:p w:rsidR="00CD295C" w:rsidRDefault="00CD295C" w:rsidP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Кадмия оксид</w:t>
      </w:r>
    </w:p>
    <w:p w:rsidR="00CD295C" w:rsidRDefault="00CD295C" w:rsidP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 w:rsidP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№ по перечню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2.000000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[70]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0.001000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0.0100000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0.0003000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[56]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[60]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1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72.00000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[28]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250.00000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доказана для человека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1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3.70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0.00500000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[12]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  <w:r>
              <w:t>-99.99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накопление в нескольких звеньях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есть возможн.проявления для человека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[92]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  <w:rPr>
                <w:noProof w:val="0"/>
              </w:rPr>
            </w:pPr>
            <w:r>
              <w:rPr>
                <w:noProof w:val="0"/>
              </w:rPr>
              <w:t>0.010</w:t>
            </w: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2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[45]</w:t>
            </w:r>
          </w:p>
        </w:tc>
      </w:tr>
      <w:tr w:rsidR="00CD295C" w:rsidT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 w:rsidP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 w:rsidP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 w:rsidP="00CD295C">
            <w:pPr>
              <w:pStyle w:val="table"/>
              <w:ind w:left="-57" w:right="-57"/>
              <w:jc w:val="right"/>
            </w:pPr>
          </w:p>
        </w:tc>
        <w:tc>
          <w:tcPr>
            <w:tcW w:w="454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4</w:t>
            </w:r>
          </w:p>
        </w:tc>
        <w:tc>
          <w:tcPr>
            <w:tcW w:w="1418" w:type="dxa"/>
          </w:tcPr>
          <w:p w:rsidR="00CD295C" w:rsidRDefault="00CD295C" w:rsidP="00CD295C">
            <w:pPr>
              <w:pStyle w:val="table"/>
              <w:ind w:left="-113" w:right="-113"/>
            </w:pPr>
            <w:r>
              <w:t>-</w:t>
            </w:r>
          </w:p>
        </w:tc>
      </w:tr>
    </w:tbl>
    <w:p w:rsidR="00CD295C" w:rsidRDefault="00CD295C">
      <w:pPr>
        <w:pStyle w:val="2text"/>
      </w:pPr>
    </w:p>
    <w:p w:rsidR="00CD295C" w:rsidRDefault="00CD295C">
      <w:pPr>
        <w:pStyle w:val="2text"/>
      </w:pPr>
      <w:bookmarkStart w:id="8" w:name="tt"/>
      <w:bookmarkEnd w:id="8"/>
    </w:p>
    <w:p w:rsidR="00CD295C" w:rsidRDefault="00CD295C">
      <w:pPr>
        <w:pStyle w:val="2text"/>
      </w:pPr>
      <w:r>
        <w:t>Токсикологические, санитарно-гигиенические и физико-химические показатели опасности компонента:  Титана оксид</w:t>
      </w:r>
    </w:p>
    <w:p w:rsidR="00CD295C" w:rsidRDefault="00CD295C">
      <w:pPr>
        <w:pStyle w:val="2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3657"/>
        <w:gridCol w:w="454"/>
        <w:gridCol w:w="1418"/>
      </w:tblGrid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  <w:rPr>
                <w:sz w:val="20"/>
              </w:rPr>
            </w:pPr>
            <w:r>
              <w:rPr>
                <w:noProof w:val="0"/>
                <w:sz w:val="20"/>
              </w:rPr>
              <w:t>№</w:t>
            </w:r>
            <w:r>
              <w:rPr>
                <w:sz w:val="20"/>
              </w:rPr>
              <w:t xml:space="preserve"> п/п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Наименование первичного показателя опасности компонента отхода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rPr>
                <w:sz w:val="20"/>
              </w:rPr>
            </w:pPr>
            <w:r>
              <w:rPr>
                <w:sz w:val="20"/>
              </w:rPr>
              <w:t>Значение показателя опасности по данному компоненту отхода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Балл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t>Использованная литература,</w:t>
            </w:r>
          </w:p>
          <w:p w:rsidR="00CD295C" w:rsidRDefault="00CD295C">
            <w:pPr>
              <w:pStyle w:val="table"/>
              <w:ind w:left="-113" w:right="-113"/>
              <w:rPr>
                <w:sz w:val="20"/>
              </w:rPr>
            </w:pPr>
            <w:r>
              <w:rPr>
                <w:sz w:val="20"/>
              </w:rPr>
              <w:lastRenderedPageBreak/>
              <w:t>№ по перечню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lastRenderedPageBreak/>
              <w:t>1.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 (ОДК*)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9" w:name="p1"/>
            <w:bookmarkEnd w:id="9"/>
            <w: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10" w:name="k1"/>
            <w:bookmarkEnd w:id="10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11" w:name="il1"/>
            <w:bookmarkEnd w:id="11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2.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 (ОДУ)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12" w:name="p2"/>
            <w:bookmarkEnd w:id="12"/>
            <w:r>
              <w:t>0.100000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13" w:name="k2"/>
            <w:bookmarkEnd w:id="13"/>
            <w:r>
              <w:t>2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14" w:name="il2"/>
            <w:bookmarkEnd w:id="14"/>
            <w:r>
              <w:t>[58]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3.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ПДКр.з.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15" w:name="p3"/>
            <w:bookmarkEnd w:id="15"/>
            <w:r>
              <w:t>10.0000000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16" w:name="k3"/>
            <w:bookmarkEnd w:id="16"/>
            <w:r>
              <w:t>3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17" w:name="il3"/>
            <w:bookmarkEnd w:id="17"/>
            <w:r>
              <w:t>[56]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4.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ПДКс.с.(ПДКм.р., ОБУВ)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мг/м3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18" w:name="p4"/>
            <w:bookmarkEnd w:id="18"/>
            <w:r>
              <w:t>0.5000000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19" w:name="k4"/>
            <w:bookmarkEnd w:id="19"/>
            <w:r>
              <w:t>3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20" w:name="il4"/>
            <w:bookmarkEnd w:id="20"/>
            <w:r>
              <w:t>[61]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5.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опасн.в воде(хоз-пит. использования)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21" w:name="p5"/>
            <w:bookmarkEnd w:id="21"/>
            <w:r>
              <w:t>3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22" w:name="k5"/>
            <w:bookmarkEnd w:id="22"/>
            <w:r>
              <w:t>3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23" w:name="il5"/>
            <w:bookmarkEnd w:id="23"/>
            <w:r>
              <w:t>[58]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6.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рабочей зоне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24" w:name="p6"/>
            <w:bookmarkEnd w:id="24"/>
            <w:r>
              <w:t>4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25" w:name="k6"/>
            <w:bookmarkEnd w:id="25"/>
            <w:r>
              <w:t>4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26" w:name="il6"/>
            <w:bookmarkEnd w:id="26"/>
            <w:r>
              <w:t>[56]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7.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Класс опасности в атмосферном воздухе 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27" w:name="p7"/>
            <w:bookmarkEnd w:id="27"/>
            <w: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28" w:name="k7"/>
            <w:bookmarkEnd w:id="28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29" w:name="il7"/>
            <w:bookmarkEnd w:id="29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8.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Класс опасности в почве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30" w:name="p8"/>
            <w:bookmarkEnd w:id="30"/>
            <w: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31" w:name="k8"/>
            <w:bookmarkEnd w:id="31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32" w:name="il8"/>
            <w:bookmarkEnd w:id="32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9.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(мг/кг)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33" w:name="p9"/>
            <w:bookmarkEnd w:id="33"/>
            <w:r>
              <w:t>10000.00000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34" w:name="k9"/>
            <w:bookmarkEnd w:id="34"/>
            <w:r>
              <w:t>4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35" w:name="il9"/>
            <w:bookmarkEnd w:id="35"/>
            <w:r>
              <w:t>[92]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10.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CL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</w:rPr>
              <w:t xml:space="preserve"> (мг/м3)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36" w:name="p10"/>
            <w:bookmarkEnd w:id="36"/>
            <w: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37" w:name="k10"/>
            <w:bookmarkEnd w:id="37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38" w:name="il10"/>
            <w:bookmarkEnd w:id="38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11.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Канцерогенность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bookmarkStart w:id="39" w:name="p11"/>
            <w:bookmarkEnd w:id="39"/>
            <w:r>
              <w:rPr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40" w:name="k11"/>
            <w:bookmarkEnd w:id="40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41" w:name="il11"/>
            <w:bookmarkEnd w:id="41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12.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Lg(S, мг/л / ПДКв, мг/л)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42" w:name="p12"/>
            <w:bookmarkEnd w:id="42"/>
            <w:r>
              <w:t>0.00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43" w:name="k12"/>
            <w:bookmarkEnd w:id="43"/>
            <w:r>
              <w:t>4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44" w:name="il12"/>
            <w:bookmarkEnd w:id="44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13.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Lg(Снac, мг/м3 / ПДКр.з)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45" w:name="p13"/>
            <w:bookmarkEnd w:id="45"/>
            <w:r>
              <w:t>-99.99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46" w:name="k13"/>
            <w:bookmarkEnd w:id="46"/>
            <w:r>
              <w:t>4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47" w:name="il13"/>
            <w:bookmarkEnd w:id="47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14.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ПДКв.р.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мг/л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48" w:name="p14"/>
            <w:bookmarkEnd w:id="48"/>
            <w: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49" w:name="k14"/>
            <w:bookmarkEnd w:id="49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50" w:name="il14"/>
            <w:bookmarkEnd w:id="50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15.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DL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skin</w:t>
            </w:r>
            <w:r>
              <w:rPr>
                <w:sz w:val="20"/>
              </w:rPr>
              <w:t xml:space="preserve">  (мг/кг)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51" w:name="p15"/>
            <w:bookmarkEnd w:id="51"/>
            <w:r>
              <w:t>9999.0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52" w:name="k15"/>
            <w:bookmarkEnd w:id="52"/>
            <w:r>
              <w:t>4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53" w:name="il15"/>
            <w:bookmarkEnd w:id="53"/>
            <w:r>
              <w:t>[92]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16.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noProof w:val="0"/>
                <w:sz w:val="20"/>
                <w:lang w:val="en-US"/>
              </w:rPr>
              <w:t>C</w:t>
            </w:r>
            <w:r>
              <w:rPr>
                <w:sz w:val="20"/>
              </w:rPr>
              <w:t>L</w:t>
            </w:r>
            <w:r>
              <w:rPr>
                <w:sz w:val="20"/>
                <w:vertAlign w:val="subscript"/>
              </w:rPr>
              <w:t>50</w:t>
            </w:r>
            <w:r>
              <w:rPr>
                <w:sz w:val="20"/>
                <w:vertAlign w:val="superscript"/>
              </w:rPr>
              <w:t>W</w:t>
            </w:r>
            <w:r>
              <w:rPr>
                <w:sz w:val="20"/>
              </w:rPr>
              <w:t xml:space="preserve"> (мг/л/96ч)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54" w:name="p16"/>
            <w:bookmarkEnd w:id="54"/>
            <w: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55" w:name="k16"/>
            <w:bookmarkEnd w:id="55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56" w:name="il16"/>
            <w:bookmarkEnd w:id="56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17.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Lg(Снас, мг/м3 / ПДКс.с. или ПДКм.р.)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57" w:name="p17"/>
            <w:bookmarkEnd w:id="57"/>
            <w:r>
              <w:t>-99.99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58" w:name="k17"/>
            <w:bookmarkEnd w:id="58"/>
            <w:r>
              <w:t>4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59" w:name="il17"/>
            <w:bookmarkEnd w:id="59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18.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КВИО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113"/>
              <w:jc w:val="right"/>
              <w:rPr>
                <w:noProof w:val="0"/>
                <w:sz w:val="20"/>
              </w:rPr>
            </w:pPr>
            <w:bookmarkStart w:id="60" w:name="p18"/>
            <w:bookmarkEnd w:id="60"/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61" w:name="k18"/>
            <w:bookmarkEnd w:id="61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62" w:name="il18"/>
            <w:bookmarkEnd w:id="62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19.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lg Kow (oктaнoл/вoдa)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noProof w:val="0"/>
              </w:rPr>
            </w:pPr>
            <w:bookmarkStart w:id="63" w:name="p19"/>
            <w:bookmarkEnd w:id="63"/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64" w:name="k19"/>
            <w:bookmarkEnd w:id="64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65" w:name="il19"/>
            <w:bookmarkEnd w:id="65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20.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Персистентность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трансформация в окружающей среде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bookmarkStart w:id="66" w:name="p20"/>
            <w:bookmarkEnd w:id="66"/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67" w:name="k20"/>
            <w:bookmarkEnd w:id="67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68" w:name="il20"/>
            <w:bookmarkEnd w:id="68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21.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Биоаккумуляция</w:t>
            </w:r>
            <w:r>
              <w:rPr>
                <w:noProof w:val="0"/>
                <w:sz w:val="20"/>
              </w:rPr>
              <w:t>:</w:t>
            </w:r>
            <w:r>
              <w:rPr>
                <w:sz w:val="20"/>
              </w:rPr>
              <w:t xml:space="preserve"> поведение в пищевой цепочке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bookmarkStart w:id="69" w:name="p21"/>
            <w:bookmarkEnd w:id="69"/>
            <w:r>
              <w:rPr>
                <w:noProof w:val="0"/>
                <w:sz w:val="20"/>
              </w:rPr>
              <w:t>накопление в одном звене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70" w:name="k21"/>
            <w:bookmarkEnd w:id="70"/>
            <w:r>
              <w:t>3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71" w:name="il21"/>
            <w:bookmarkEnd w:id="71"/>
            <w:r>
              <w:t>[92]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22.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Мутагенность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bookmarkStart w:id="72" w:name="p22"/>
            <w:bookmarkEnd w:id="72"/>
            <w:r>
              <w:rPr>
                <w:noProof w:val="0"/>
                <w:sz w:val="20"/>
              </w:rP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73" w:name="k22"/>
            <w:bookmarkEnd w:id="73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74" w:name="il22"/>
            <w:bookmarkEnd w:id="74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23.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noProof w:val="0"/>
                <w:sz w:val="20"/>
              </w:rPr>
            </w:pPr>
            <w:r>
              <w:rPr>
                <w:sz w:val="20"/>
              </w:rPr>
              <w:t xml:space="preserve">ПДКпп </w:t>
            </w:r>
            <w:r>
              <w:rPr>
                <w:noProof w:val="0"/>
                <w:sz w:val="20"/>
              </w:rPr>
              <w:t>в продуктах питания</w:t>
            </w:r>
            <w:r>
              <w:rPr>
                <w:sz w:val="20"/>
              </w:rPr>
              <w:t xml:space="preserve"> </w:t>
            </w:r>
            <w:r>
              <w:rPr>
                <w:noProof w:val="0"/>
                <w:sz w:val="20"/>
              </w:rPr>
              <w:t>(</w:t>
            </w:r>
            <w:r>
              <w:rPr>
                <w:sz w:val="20"/>
              </w:rPr>
              <w:t>мг/кг</w:t>
            </w:r>
            <w:r>
              <w:rPr>
                <w:noProof w:val="0"/>
                <w:sz w:val="20"/>
              </w:rPr>
              <w:t>)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  <w:rPr>
                <w:noProof w:val="0"/>
              </w:rPr>
            </w:pPr>
            <w:bookmarkStart w:id="75" w:name="p23"/>
            <w:bookmarkEnd w:id="75"/>
            <w:r>
              <w:rPr>
                <w:noProof w:val="0"/>
              </w:rPr>
              <w:t>-</w:t>
            </w:r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76" w:name="k23"/>
            <w:bookmarkEnd w:id="76"/>
            <w:r>
              <w:t>-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77" w:name="il23"/>
            <w:bookmarkEnd w:id="77"/>
            <w:r>
              <w:t>-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CD295C" w:rsidRDefault="00CD295C">
            <w:pPr>
              <w:pStyle w:val="table"/>
            </w:pPr>
            <w:r>
              <w:t>2</w:t>
            </w:r>
            <w:r>
              <w:rPr>
                <w:noProof w:val="0"/>
              </w:rPr>
              <w:t>4</w:t>
            </w:r>
            <w:r>
              <w:t>.</w:t>
            </w:r>
          </w:p>
        </w:tc>
        <w:tc>
          <w:tcPr>
            <w:tcW w:w="3685" w:type="dxa"/>
          </w:tcPr>
          <w:p w:rsidR="00CD295C" w:rsidRDefault="00CD295C">
            <w:pPr>
              <w:pStyle w:val="table"/>
              <w:ind w:left="-57" w:right="-57"/>
              <w:jc w:val="left"/>
              <w:rPr>
                <w:sz w:val="20"/>
              </w:rPr>
            </w:pPr>
            <w:r>
              <w:rPr>
                <w:sz w:val="20"/>
              </w:rPr>
              <w:t>Информационное обеспечение</w:t>
            </w:r>
          </w:p>
        </w:tc>
        <w:tc>
          <w:tcPr>
            <w:tcW w:w="3657" w:type="dxa"/>
          </w:tcPr>
          <w:p w:rsidR="00CD295C" w:rsidRDefault="00CD295C">
            <w:pPr>
              <w:pStyle w:val="table"/>
              <w:ind w:left="-57" w:right="-57"/>
              <w:jc w:val="right"/>
            </w:pPr>
            <w:bookmarkStart w:id="78" w:name="p24"/>
            <w:bookmarkEnd w:id="78"/>
          </w:p>
        </w:tc>
        <w:tc>
          <w:tcPr>
            <w:tcW w:w="454" w:type="dxa"/>
          </w:tcPr>
          <w:p w:rsidR="00CD295C" w:rsidRDefault="00CD295C">
            <w:pPr>
              <w:pStyle w:val="table"/>
              <w:ind w:left="-113" w:right="-113"/>
            </w:pPr>
            <w:bookmarkStart w:id="79" w:name="k24"/>
            <w:bookmarkEnd w:id="79"/>
            <w:r>
              <w:t>4</w:t>
            </w:r>
          </w:p>
        </w:tc>
        <w:tc>
          <w:tcPr>
            <w:tcW w:w="1418" w:type="dxa"/>
          </w:tcPr>
          <w:p w:rsidR="00CD295C" w:rsidRDefault="00CD295C">
            <w:pPr>
              <w:pStyle w:val="table"/>
              <w:ind w:left="-113" w:right="-113"/>
            </w:pPr>
            <w:bookmarkStart w:id="80" w:name="il24"/>
            <w:bookmarkEnd w:id="80"/>
            <w:r>
              <w:t>-</w:t>
            </w:r>
          </w:p>
        </w:tc>
      </w:tr>
    </w:tbl>
    <w:p w:rsidR="00CD295C" w:rsidRDefault="00CD295C">
      <w:pPr>
        <w:pStyle w:val="2text"/>
      </w:pPr>
      <w:bookmarkStart w:id="81" w:name="tt2"/>
      <w:bookmarkEnd w:id="81"/>
    </w:p>
    <w:p w:rsidR="00CD295C" w:rsidRDefault="00CD295C">
      <w:pPr>
        <w:pStyle w:val="2text"/>
        <w:tabs>
          <w:tab w:val="right" w:leader="underscore" w:pos="9639"/>
        </w:tabs>
      </w:pPr>
      <w:r>
        <w:tab/>
      </w:r>
    </w:p>
    <w:p w:rsidR="00CD295C" w:rsidRDefault="00CD295C">
      <w:pPr>
        <w:pStyle w:val="2text"/>
        <w:tabs>
          <w:tab w:val="right" w:pos="284"/>
          <w:tab w:val="left" w:pos="426"/>
        </w:tabs>
        <w:ind w:left="426" w:hanging="426"/>
        <w:jc w:val="both"/>
        <w:rPr>
          <w:sz w:val="22"/>
        </w:rPr>
      </w:pPr>
      <w:r>
        <w:rPr>
          <w:sz w:val="22"/>
        </w:rPr>
        <w:tab/>
        <w:t>*</w:t>
      </w:r>
      <w:r>
        <w:rPr>
          <w:sz w:val="22"/>
        </w:rPr>
        <w:tab/>
        <w:t>В случаях отсутствия ПДК токсичного компонента отхода допустимо использование другой нормативной величины, указанной в скобках.</w:t>
      </w:r>
    </w:p>
    <w:p w:rsidR="00CD295C" w:rsidRDefault="00CD295C">
      <w:pPr>
        <w:pStyle w:val="2text"/>
        <w:spacing w:before="120"/>
        <w:ind w:firstLine="567"/>
        <w:jc w:val="both"/>
      </w:pPr>
      <w:r>
        <w:t>Перечень литературы, использованной для определения значений токсикологических, санитарно-гигиенических и физико-химических</w:t>
      </w:r>
      <w:r>
        <w:rPr>
          <w:lang w:val="en-US"/>
        </w:rPr>
        <w:t xml:space="preserve"> </w:t>
      </w:r>
      <w:r>
        <w:t xml:space="preserve">показателей опасности компонентов отхода приведен в </w:t>
      </w:r>
      <w:r>
        <w:rPr>
          <w:b/>
        </w:rPr>
        <w:t>Приложении А</w:t>
      </w:r>
      <w:r>
        <w:t>.</w:t>
      </w:r>
    </w:p>
    <w:p w:rsidR="00CD295C" w:rsidRDefault="00CD295C">
      <w:pPr>
        <w:pStyle w:val="2text"/>
        <w:ind w:firstLine="567"/>
      </w:pPr>
      <w:r>
        <w:t xml:space="preserve">Используемые сокращения приведены в </w:t>
      </w:r>
      <w:r>
        <w:rPr>
          <w:b/>
        </w:rPr>
        <w:t>Приложении Б</w:t>
      </w:r>
      <w:r>
        <w:t>.</w:t>
      </w:r>
    </w:p>
    <w:p w:rsidR="00CD295C" w:rsidRDefault="00CD295C">
      <w:pPr>
        <w:pStyle w:val="2text"/>
        <w:ind w:firstLine="567"/>
        <w:jc w:val="both"/>
      </w:pPr>
      <w:r>
        <w:t xml:space="preserve">По установленным значениям показателей опасности последнему присваивается балл от 1 </w:t>
      </w:r>
      <w:r>
        <w:rPr>
          <w:lang w:val="en-US"/>
        </w:rPr>
        <w:t xml:space="preserve"> </w:t>
      </w:r>
      <w:r>
        <w:t>до 4.</w:t>
      </w:r>
    </w:p>
    <w:p w:rsidR="00CD295C" w:rsidRDefault="00CD295C">
      <w:pPr>
        <w:pStyle w:val="2text"/>
        <w:spacing w:before="120"/>
        <w:ind w:firstLine="567"/>
      </w:pPr>
      <w:r>
        <w:t>Коэффициент Wi рассчитывается по формуле:</w:t>
      </w:r>
    </w:p>
    <w:p w:rsidR="00CD295C" w:rsidRDefault="00CD295C">
      <w:pPr>
        <w:pStyle w:val="2text"/>
        <w:tabs>
          <w:tab w:val="left" w:pos="4536"/>
        </w:tabs>
        <w:spacing w:before="120" w:after="120"/>
        <w:ind w:left="851"/>
      </w:pPr>
      <w:r>
        <w:rPr>
          <w:color w:val="000000"/>
          <w:lang w:val="en-US"/>
        </w:rPr>
        <w:t>L</w:t>
      </w:r>
      <w:r>
        <w:rPr>
          <w:color w:val="000000"/>
        </w:rPr>
        <w:t>gW</w:t>
      </w:r>
      <w:r>
        <w:rPr>
          <w:color w:val="000000"/>
          <w:lang w:val="en-US"/>
        </w:rPr>
        <w:t>i</w:t>
      </w:r>
      <w:r>
        <w:rPr>
          <w:color w:val="000000"/>
        </w:rPr>
        <w:t xml:space="preserve">  = 1,2 (</w:t>
      </w:r>
      <w:r>
        <w:rPr>
          <w:color w:val="000000"/>
          <w:lang w:val="en-US"/>
        </w:rPr>
        <w:t>Xi</w:t>
      </w:r>
      <w:r>
        <w:rPr>
          <w:color w:val="000000"/>
        </w:rPr>
        <w:t xml:space="preserve"> – </w:t>
      </w:r>
      <w:r>
        <w:rPr>
          <w:color w:val="000000"/>
          <w:lang w:val="en-US"/>
        </w:rPr>
        <w:t>1</w:t>
      </w:r>
      <w:r>
        <w:rPr>
          <w:color w:val="000000"/>
        </w:rPr>
        <w:t>)</w:t>
      </w:r>
    </w:p>
    <w:p w:rsidR="00CD295C" w:rsidRDefault="00CD295C">
      <w:pPr>
        <w:pStyle w:val="2textpoyas"/>
        <w:tabs>
          <w:tab w:val="clear" w:pos="1560"/>
          <w:tab w:val="right" w:pos="1474"/>
        </w:tabs>
      </w:pPr>
      <w:r>
        <w:t>где</w:t>
      </w:r>
      <w:r>
        <w:tab/>
      </w:r>
      <w:r>
        <w:rPr>
          <w:noProof w:val="0"/>
          <w:lang w:val="en-US"/>
        </w:rPr>
        <w:t>X</w:t>
      </w:r>
      <w:r>
        <w:t>i</w:t>
      </w:r>
      <w:r>
        <w:tab/>
        <w:t>—</w:t>
      </w:r>
      <w:r>
        <w:tab/>
        <w:t>усредненный параметр опасности компонента отхода.</w:t>
      </w:r>
    </w:p>
    <w:p w:rsidR="00CD295C" w:rsidRDefault="00CD295C">
      <w:pPr>
        <w:pStyle w:val="2text"/>
        <w:ind w:firstLine="567"/>
        <w:jc w:val="both"/>
      </w:pPr>
      <w:r>
        <w:t xml:space="preserve">При расчете величины </w:t>
      </w:r>
      <w:r>
        <w:rPr>
          <w:color w:val="000000"/>
          <w:lang w:val="en-US"/>
        </w:rPr>
        <w:t>Xi</w:t>
      </w:r>
      <w:r>
        <w:rPr>
          <w:color w:val="000000"/>
        </w:rPr>
        <w:t xml:space="preserve"> учитывается</w:t>
      </w:r>
      <w:r>
        <w:t xml:space="preserve"> информационный показатель </w:t>
      </w:r>
      <w:r>
        <w:rPr>
          <w:lang w:val="en-US"/>
        </w:rPr>
        <w:t>I,</w:t>
      </w:r>
      <w:r>
        <w:t xml:space="preserve"> который зависит от числа используемых показателей</w:t>
      </w:r>
      <w:r>
        <w:rPr>
          <w:lang w:val="en-US"/>
        </w:rPr>
        <w:t xml:space="preserve"> </w:t>
      </w:r>
      <w:r>
        <w:t>опасности.</w:t>
      </w:r>
    </w:p>
    <w:p w:rsidR="00CD295C" w:rsidRDefault="00CD295C">
      <w:pPr>
        <w:pStyle w:val="2text"/>
        <w:spacing w:after="120"/>
        <w:ind w:firstLine="567"/>
        <w:jc w:val="both"/>
      </w:pPr>
      <w:r>
        <w:t>Усредненный параметр опасности компонента отхода</w:t>
      </w:r>
      <w:r>
        <w:rPr>
          <w:lang w:val="en-US"/>
        </w:rPr>
        <w:t xml:space="preserve"> X</w:t>
      </w:r>
      <w:r>
        <w:t>i вычисляется делением суммы баллов по всем показателям, включая информационный, на общее число показателей.</w:t>
      </w:r>
    </w:p>
    <w:p w:rsidR="00CD295C" w:rsidRDefault="00CD295C">
      <w:pPr>
        <w:pStyle w:val="2text"/>
        <w:spacing w:after="120"/>
        <w:jc w:val="both"/>
      </w:pPr>
      <w:r>
        <w:t xml:space="preserve">Информационный показатель </w:t>
      </w:r>
      <w:r>
        <w:rPr>
          <w:lang w:val="en-US"/>
        </w:rPr>
        <w:t>I</w:t>
      </w:r>
      <w:r>
        <w:t xml:space="preserve"> имеет следующие значения (в б</w:t>
      </w:r>
      <w:r>
        <w:rPr>
          <w:color w:val="000000"/>
        </w:rPr>
        <w:t>аллах):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05"/>
        <w:gridCol w:w="1275"/>
      </w:tblGrid>
      <w:tr w:rsidR="00CD295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05" w:type="dxa"/>
          </w:tcPr>
          <w:p w:rsidR="00CD295C" w:rsidRDefault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 xml:space="preserve">Число </w:t>
            </w:r>
            <w:r>
              <w:t>используемых</w:t>
            </w:r>
            <w:r>
              <w:rPr>
                <w:noProof w:val="0"/>
              </w:rPr>
              <w:t xml:space="preserve"> </w:t>
            </w:r>
            <w:r>
              <w:t>показател</w:t>
            </w:r>
            <w:r>
              <w:rPr>
                <w:noProof w:val="0"/>
              </w:rPr>
              <w:t>ей</w:t>
            </w:r>
            <w:r>
              <w:t xml:space="preserve"> опасности </w:t>
            </w:r>
            <w:r>
              <w:rPr>
                <w:noProof w:val="0"/>
              </w:rPr>
              <w:t>(</w:t>
            </w:r>
            <w:r>
              <w:t>n</w:t>
            </w:r>
            <w:r>
              <w:rPr>
                <w:noProof w:val="0"/>
              </w:rPr>
              <w:t>)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</w:pPr>
            <w:r>
              <w:t>БАЛЛ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05" w:type="dxa"/>
          </w:tcPr>
          <w:p w:rsidR="00CD295C" w:rsidRDefault="00CD295C">
            <w:pPr>
              <w:pStyle w:val="table"/>
            </w:pPr>
            <w:r>
              <w:t>n</w:t>
            </w:r>
            <w:r>
              <w:rPr>
                <w:noProof w:val="0"/>
              </w:rPr>
              <w:t>=</w:t>
            </w:r>
            <w:r>
              <w:t>&lt;6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</w:pPr>
            <w:r>
              <w:t>1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05" w:type="dxa"/>
          </w:tcPr>
          <w:p w:rsidR="00CD295C" w:rsidRDefault="00CD295C">
            <w:pPr>
              <w:pStyle w:val="table"/>
            </w:pPr>
            <w:r>
              <w:t>n=</w:t>
            </w:r>
            <w:r>
              <w:rPr>
                <w:noProof w:val="0"/>
              </w:rPr>
              <w:t>7</w:t>
            </w:r>
            <w:r>
              <w:t>-8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</w:pPr>
            <w:r>
              <w:t>2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05" w:type="dxa"/>
          </w:tcPr>
          <w:p w:rsidR="00CD295C" w:rsidRDefault="00CD295C">
            <w:pPr>
              <w:pStyle w:val="table"/>
            </w:pPr>
            <w:r>
              <w:t>n=9-10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</w:pPr>
            <w:r>
              <w:t>3</w:t>
            </w:r>
          </w:p>
        </w:tc>
      </w:tr>
      <w:tr w:rsidR="00CD295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05" w:type="dxa"/>
          </w:tcPr>
          <w:p w:rsidR="00CD295C" w:rsidRDefault="00CD295C">
            <w:pPr>
              <w:pStyle w:val="table"/>
              <w:rPr>
                <w:noProof w:val="0"/>
              </w:rPr>
            </w:pPr>
            <w:r>
              <w:t>n=</w:t>
            </w:r>
            <w:r>
              <w:rPr>
                <w:noProof w:val="0"/>
              </w:rPr>
              <w:t>11</w:t>
            </w:r>
            <w:r>
              <w:t>-1</w:t>
            </w:r>
            <w:r>
              <w:rPr>
                <w:noProof w:val="0"/>
              </w:rPr>
              <w:t>2</w:t>
            </w:r>
          </w:p>
        </w:tc>
        <w:tc>
          <w:tcPr>
            <w:tcW w:w="1275" w:type="dxa"/>
          </w:tcPr>
          <w:p w:rsidR="00CD295C" w:rsidRDefault="00CD295C">
            <w:pPr>
              <w:pStyle w:val="table"/>
              <w:rPr>
                <w:noProof w:val="0"/>
              </w:rPr>
            </w:pPr>
            <w:r>
              <w:rPr>
                <w:noProof w:val="0"/>
              </w:rPr>
              <w:t>4</w:t>
            </w:r>
          </w:p>
        </w:tc>
      </w:tr>
    </w:tbl>
    <w:p w:rsidR="00CD295C" w:rsidRDefault="00CD295C">
      <w:pPr>
        <w:pStyle w:val="2text"/>
        <w:spacing w:before="360" w:after="240"/>
        <w:jc w:val="right"/>
        <w:rPr>
          <w:b/>
        </w:rPr>
      </w:pPr>
      <w:r>
        <w:rPr>
          <w:b/>
        </w:rPr>
        <w:t>Приложение А</w:t>
      </w:r>
    </w:p>
    <w:p w:rsidR="00CD295C" w:rsidRDefault="00CD295C">
      <w:pPr>
        <w:pStyle w:val="2Zag"/>
        <w:rPr>
          <w:lang w:val="en-US"/>
        </w:rPr>
      </w:pPr>
      <w:r>
        <w:lastRenderedPageBreak/>
        <w:t>Перечень литературы, использованной для определения значений первичных показателей опасности компонентов отхода.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1.Перечень предельно допустимых концентраций (ПДК) и ориентировочно допустимых количеств (ОДК) химических веществ в почве, Госкомсанэпиднадзор РФ, утв. 06.02.1992 г. N 1.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2.МУ 2.1.7.730-99.Гигиеническая оценка качества почвы населенных мест, М., 1999.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12.Перечень рыбохозяйственных нормативов: предельно допустимых концентраций (ПДК) и ОБУВ вредных веществ для воды водных объектов, имеющих рыбохозяйственное значение, М.:ВНИРО, 1999.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14.Вредные химические вещества. Неорганические соединения элементов V-VIIIгрупп. Справочник /Бандман А.Л., Волкова Н.В. и др., под ред. Филова В.А. и др., Л.: Химия, 1989.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27.МРПТХВ Медь и ее неорганические соединения N120, М., 1989.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28.МРПТХВ Кадмий N69, М., 1984.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45.Экологические аспекты экспертизы изобретений. Справочник, ч.1., М., 1989.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56.ГН 2.2.5.1313-03 Предельно допустимые концентрации (ПДК) вредных веществ в воздухе рабочей зоны, Минздрав России, утв. 30.04.2003 г. N 77.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58.ГН 2.1.5.1315-03 Предельно допустимые концентрации (ПДК) химических веществ в воде водных объектов хозяйственно-питьевого и культурно-бытового водопользования, Минздрав России, утв. 30.04.2003 г. N 78.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60.ГН 2.1.6.1338-03 Предельно допустимые концентрации (ПДК) загрязняющих веществ в атмосферном воздухе населенных мест, Минздрав России, утв. 21.05.2003 г. N 114.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61.ГН 2.1.6.1339-03 Ориентировочные безопасные уровни воздействия (ОБУВ) загрязняющих веществ в атмосферном воздухе населенных меcт, Минздрав России, утв. 21.05.2003 г. N 116.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63.ГН 1.1.725-98 Перечень веществ, продуктов, производственных и бытовых факторов, канцерогенных для человека, Минздрав России, утв. 23.12.1998г. N 32, М., 1999.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70.ГН 2.1.7.020-94 Ориентировочно допустимые концентрации (ОДК) тяжелых металлов и мышьяка в почвах. Дополнение N 1 к Перечню ПДК и ОДК N6229-91, Госкомсанэпиднадзор, утв. 27.12.1994 г. N 13.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92.ФГУЗ "Российский регистр потенциально опасных химических и биологических веществ (РРПОХБВ)" Роспотребнадзора России, АРИПС "Опасные вещества", Токсикологический вестник,  М., 1994-2002.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109.ГН 2.1.5.2280-07 Дополнения и изменения N1 к ГН 2.1.5.1315-03.Предельно допустимые концентрации (ПДК) химических веществ в воде водных объектов хозяйственно-питьевого и культурно-бытового водопользования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r>
        <w:rPr>
          <w:noProof w:val="0"/>
        </w:rPr>
        <w:t>122.ГН 2.1.7.2041-06 Предельно допустимые концентрации (ПДК) химических веществ в почве</w:t>
      </w:r>
    </w:p>
    <w:p w:rsidR="00CD295C" w:rsidRDefault="00CD295C">
      <w:pPr>
        <w:pStyle w:val="table"/>
        <w:ind w:left="284" w:hanging="284"/>
        <w:jc w:val="left"/>
        <w:rPr>
          <w:noProof w:val="0"/>
        </w:rPr>
      </w:pPr>
    </w:p>
    <w:p w:rsidR="00CD295C" w:rsidRDefault="00CD295C">
      <w:pPr>
        <w:pStyle w:val="table"/>
        <w:ind w:left="284" w:hanging="284"/>
        <w:jc w:val="left"/>
        <w:rPr>
          <w:noProof w:val="0"/>
        </w:rPr>
      </w:pPr>
      <w:bookmarkStart w:id="82" w:name="end3"/>
      <w:bookmarkEnd w:id="82"/>
    </w:p>
    <w:p w:rsidR="00CD295C" w:rsidRDefault="00CD295C">
      <w:pPr>
        <w:pStyle w:val="2text"/>
        <w:spacing w:before="360" w:after="240"/>
        <w:jc w:val="right"/>
        <w:rPr>
          <w:b/>
        </w:rPr>
      </w:pPr>
      <w:r>
        <w:rPr>
          <w:b/>
        </w:rPr>
        <w:t>Приложение Б</w:t>
      </w:r>
    </w:p>
    <w:p w:rsidR="00CD295C" w:rsidRDefault="00CD295C">
      <w:pPr>
        <w:pStyle w:val="2Zag"/>
      </w:pPr>
      <w:r>
        <w:t>Перечень сокращений в протоколе расчета класса опасности отхода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ПДКп (мг/кг)</w:t>
      </w:r>
      <w:r>
        <w:tab/>
        <w:t>–</w:t>
      </w:r>
      <w:r>
        <w:rPr>
          <w:lang w:val="en-US"/>
        </w:rPr>
        <w:t xml:space="preserve"> </w:t>
      </w:r>
      <w:r>
        <w:t>предельно-допустимая концентрация химического вещества в почве.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ОДК</w:t>
      </w:r>
      <w:r>
        <w:tab/>
        <w:t>– ориентировочно-допустимая концентрация вещества в почве.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ПДКв (мг/л)</w:t>
      </w:r>
      <w:r>
        <w:tab/>
        <w:t>– предельно-допустимая концентрация химического вещества в воде водных объектов хозяйственно-питьевого и культурно-бытового водопользования.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ОДУ</w:t>
      </w:r>
      <w:r>
        <w:tab/>
        <w:t>– ориентировочно-допустимый уровень содержания вещества в воде водоемов хозяйственно-питьевого и культурно-бытового водопользования.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ПДКв.р.(мг/л)</w:t>
      </w:r>
      <w:r>
        <w:tab/>
        <w:t>– предельно-допустимая концентрация химического вещества в воде водоема, используемого для рыбохозяйственных целей.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ПДКр.з. (мг/м3)</w:t>
      </w:r>
      <w:r>
        <w:tab/>
        <w:t>– предельно-допустимая концентрация химического вещества в воздухе рабочей зоны.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ПДКс.с.(мг/м3)</w:t>
      </w:r>
      <w:r>
        <w:tab/>
        <w:t>– предельно-допустимая среднесуточная концентрация химического вещества в воздухе населенных мест.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ПДКм.р.(мг/м3)</w:t>
      </w:r>
      <w:r>
        <w:tab/>
        <w:t>– предельно-допустимая максимально разовая концентрация химического вещества в воздухе населенных мест.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ОБУВ</w:t>
      </w:r>
      <w:r>
        <w:tab/>
        <w:t>– ориентировочный безопасный уровень воздействия вещества в атмосферном воздухе.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ПДКпп (мг/кг)</w:t>
      </w:r>
      <w:r>
        <w:tab/>
        <w:t>– предельно допустимая концентрация химического вещества в продуктах питания.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lastRenderedPageBreak/>
        <w:t>S (мг/л)</w:t>
      </w:r>
      <w:r>
        <w:tab/>
        <w:t>– растворимость компонента отхода (вещества)в воде при 20</w:t>
      </w:r>
      <w:r>
        <w:sym w:font="Symbol" w:char="F0B0"/>
      </w:r>
      <w:r>
        <w:t>С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Снас (мг/м3)</w:t>
      </w:r>
      <w:r>
        <w:tab/>
        <w:t>– насыщающая концентрация вещества в воздухе при 20</w:t>
      </w:r>
      <w:r>
        <w:sym w:font="Symbol" w:char="F0B0"/>
      </w:r>
      <w:r>
        <w:t>С и нормальном давлении.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Kow</w:t>
      </w:r>
      <w:r>
        <w:tab/>
        <w:t>– коэффициент распределения в системе октанол/вода при 20</w:t>
      </w:r>
      <w:r>
        <w:sym w:font="Symbol" w:char="F0B0"/>
      </w:r>
      <w:r>
        <w:t>С.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 xml:space="preserve">КВИО </w:t>
      </w:r>
      <w:r>
        <w:tab/>
        <w:t>– коэффициент возможности ингаляционного отравления – отношение концентрации насыщения вещества в воздухе (Снас) к LC50 для лабораторных животных при ингаляционном поступлении в унифицированных условиях (20 град. С, экспозиция - 2 часа, мыши; 4 часа - крысы).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CL</w:t>
      </w:r>
      <w:r>
        <w:rPr>
          <w:vertAlign w:val="superscript"/>
        </w:rPr>
        <w:t>W</w:t>
      </w:r>
      <w:r>
        <w:rPr>
          <w:vertAlign w:val="subscript"/>
        </w:rPr>
        <w:t>50</w:t>
      </w:r>
      <w:r>
        <w:t xml:space="preserve"> (мг/л/96ч)</w:t>
      </w:r>
      <w:r>
        <w:tab/>
        <w:t>– средняя смертельная концентрация вещества в воде, вызывающая гибель 50% всех взятых в опыт гидробионтов (дафний, рыб) через 96 часов.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DL</w:t>
      </w:r>
      <w:r>
        <w:rPr>
          <w:vertAlign w:val="subscript"/>
        </w:rPr>
        <w:t>50</w:t>
      </w:r>
      <w:r>
        <w:t xml:space="preserve"> (мг/кг)</w:t>
      </w:r>
      <w:r>
        <w:tab/>
        <w:t>– средняя смертельная доза вещества на 1 кг живого веса, вызывающая гибель 50% всех взятых в опыт лабораторных животных при однократном пероральном введении в унифицированных условиях.</w:t>
      </w:r>
    </w:p>
    <w:p w:rsidR="00CD295C" w:rsidRDefault="00CD295C">
      <w:pPr>
        <w:pStyle w:val="3text"/>
        <w:tabs>
          <w:tab w:val="clear" w:pos="1843"/>
          <w:tab w:val="clear" w:pos="9058"/>
          <w:tab w:val="left" w:pos="1644"/>
        </w:tabs>
      </w:pPr>
      <w:r>
        <w:t>CL</w:t>
      </w:r>
      <w:r>
        <w:rPr>
          <w:vertAlign w:val="subscript"/>
        </w:rPr>
        <w:t>50</w:t>
      </w:r>
      <w:r>
        <w:t xml:space="preserve"> (мг/м3)</w:t>
      </w:r>
      <w:r>
        <w:tab/>
        <w:t>– средняя смертельная концентрация вещества, вызывающая гибель 50% всех взятых в опыт лабораторных животных при однократном ингаляционном введении в унифицированных условиях.</w:t>
      </w:r>
    </w:p>
    <w:sectPr w:rsidR="00CD295C">
      <w:footerReference w:type="even" r:id="rId7"/>
      <w:footerReference w:type="default" r:id="rId8"/>
      <w:pgSz w:w="11906" w:h="16838"/>
      <w:pgMar w:top="851" w:right="851" w:bottom="851" w:left="136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F97" w:rsidRDefault="005B3F97">
      <w:r>
        <w:separator/>
      </w:r>
    </w:p>
  </w:endnote>
  <w:endnote w:type="continuationSeparator" w:id="1">
    <w:p w:rsidR="005B3F97" w:rsidRDefault="005B3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95C" w:rsidRDefault="00CD295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D295C" w:rsidRDefault="00CD295C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95C" w:rsidRDefault="00CD295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177C9">
      <w:rPr>
        <w:rStyle w:val="a4"/>
        <w:noProof/>
      </w:rPr>
      <w:t>10</w:t>
    </w:r>
    <w:r>
      <w:rPr>
        <w:rStyle w:val="a4"/>
      </w:rPr>
      <w:fldChar w:fldCharType="end"/>
    </w:r>
  </w:p>
  <w:p w:rsidR="00CD295C" w:rsidRDefault="00CD295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F97" w:rsidRDefault="005B3F97">
      <w:r>
        <w:separator/>
      </w:r>
    </w:p>
  </w:footnote>
  <w:footnote w:type="continuationSeparator" w:id="1">
    <w:p w:rsidR="005B3F97" w:rsidRDefault="005B3F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526D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BBC00C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C12199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53B33AD9"/>
    <w:multiLevelType w:val="singleLevel"/>
    <w:tmpl w:val="B36E1F40"/>
    <w:lvl w:ilvl="0">
      <w:start w:val="1"/>
      <w:numFmt w:val="decimal"/>
      <w:pStyle w:val="2textper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4">
    <w:nsid w:val="602650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77C9"/>
    <w:rsid w:val="005B3F97"/>
    <w:rsid w:val="00B177C9"/>
    <w:rsid w:val="00CD2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">
    <w:name w:val="table"/>
    <w:pPr>
      <w:jc w:val="center"/>
    </w:pPr>
    <w:rPr>
      <w:noProof/>
      <w:color w:val="000000"/>
      <w:sz w:val="22"/>
    </w:rPr>
  </w:style>
  <w:style w:type="paragraph" w:customStyle="1" w:styleId="2textper">
    <w:name w:val="2_text_per"/>
    <w:pPr>
      <w:numPr>
        <w:numId w:val="3"/>
      </w:numPr>
    </w:pPr>
    <w:rPr>
      <w:sz w:val="22"/>
    </w:rPr>
  </w:style>
  <w:style w:type="paragraph" w:customStyle="1" w:styleId="1Zag">
    <w:name w:val="1_Zag"/>
    <w:pPr>
      <w:spacing w:after="240"/>
      <w:jc w:val="center"/>
    </w:pPr>
    <w:rPr>
      <w:b/>
      <w:sz w:val="28"/>
    </w:rPr>
  </w:style>
  <w:style w:type="paragraph" w:customStyle="1" w:styleId="2text">
    <w:name w:val="2_text"/>
    <w:rPr>
      <w:sz w:val="24"/>
    </w:rPr>
  </w:style>
  <w:style w:type="paragraph" w:customStyle="1" w:styleId="2textpoyas">
    <w:name w:val="2_text_poyas"/>
    <w:pPr>
      <w:tabs>
        <w:tab w:val="right" w:pos="1560"/>
        <w:tab w:val="right" w:pos="1985"/>
        <w:tab w:val="left" w:pos="2268"/>
      </w:tabs>
      <w:ind w:left="2268" w:hanging="2268"/>
    </w:pPr>
    <w:rPr>
      <w:noProof/>
      <w:sz w:val="24"/>
    </w:rPr>
  </w:style>
  <w:style w:type="paragraph" w:customStyle="1" w:styleId="2Zag">
    <w:name w:val="2_Zag"/>
    <w:pPr>
      <w:spacing w:after="240"/>
      <w:jc w:val="center"/>
    </w:pPr>
    <w:rPr>
      <w:rFonts w:ascii="Arial" w:hAnsi="Arial"/>
      <w:b/>
      <w:caps/>
    </w:rPr>
  </w:style>
  <w:style w:type="paragraph" w:customStyle="1" w:styleId="3text">
    <w:name w:val="3_text"/>
    <w:pPr>
      <w:tabs>
        <w:tab w:val="left" w:pos="1843"/>
        <w:tab w:val="left" w:pos="9058"/>
      </w:tabs>
      <w:ind w:left="1843" w:hanging="1843"/>
    </w:pPr>
    <w:rPr>
      <w:sz w:val="22"/>
    </w:rPr>
  </w:style>
  <w:style w:type="paragraph" w:styleId="a3">
    <w:name w:val="footer"/>
    <w:basedOn w:val="a"/>
    <w:semiHidden/>
    <w:pPr>
      <w:tabs>
        <w:tab w:val="center" w:pos="4153"/>
        <w:tab w:val="right" w:pos="8306"/>
      </w:tabs>
    </w:pPr>
  </w:style>
  <w:style w:type="character" w:styleId="a4">
    <w:name w:val="page number"/>
    <w:basedOn w:val="a0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22C:\WECO4\WAST\SOURCE\HAZSP.DOT%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HAZSP.DOT"</Template>
  <TotalTime>11</TotalTime>
  <Pages>12</Pages>
  <Words>3985</Words>
  <Characters>22715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 LIMIT  TABLE=LIMIT RNAME="Лимит на размещение отходов"</vt:lpstr>
    </vt:vector>
  </TitlesOfParts>
  <Company>LOGUS</Company>
  <LinksUpToDate>false</LinksUpToDate>
  <CharactersWithSpaces>26647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LIMIT  TABLE=LIMIT RNAME="Лимит на размещение отходов"</dc:title>
  <dc:subject/>
  <dc:creator>Admin</dc:creator>
  <cp:keywords/>
  <cp:lastModifiedBy>Admin</cp:lastModifiedBy>
  <cp:revision>1</cp:revision>
  <dcterms:created xsi:type="dcterms:W3CDTF">2016-02-02T08:52:00Z</dcterms:created>
  <dcterms:modified xsi:type="dcterms:W3CDTF">2016-02-02T09:03:00Z</dcterms:modified>
</cp:coreProperties>
</file>